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E427843" w:rsidR="00F92268" w:rsidRPr="00FF66BF" w:rsidRDefault="007B3DFF" w:rsidP="00F246C7">
            <w:pPr>
              <w:pStyle w:val="RefTableHeader"/>
            </w:pPr>
            <w:r w:rsidRPr="007B3DFF">
              <w:t>2073-A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3915687" w:rsidR="004B15BB" w:rsidRPr="007B3DFF" w:rsidRDefault="007B3DFF" w:rsidP="007E5C16">
      <w:pPr>
        <w:pStyle w:val="Heading1"/>
      </w:pPr>
      <w:r w:rsidRPr="007B3DFF">
        <w:t>Specialty Guideline Management</w:t>
      </w:r>
      <w:r>
        <w:br/>
      </w:r>
      <w:proofErr w:type="spellStart"/>
      <w:r w:rsidRPr="007B3DFF">
        <w:t>Arzerra</w:t>
      </w:r>
      <w:proofErr w:type="spellEnd"/>
    </w:p>
    <w:p w14:paraId="78861C92" w14:textId="1B7D8033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BB36A92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57465A">
        <w:rPr>
          <w:rStyle w:val="ui-provider"/>
        </w:rPr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7E743518" w:rsidR="005B4D7C" w:rsidRPr="00BD1CC1" w:rsidRDefault="007B3DFF">
            <w:pPr>
              <w:pStyle w:val="TableDataUnpadded"/>
            </w:pPr>
            <w:r w:rsidRPr="007B3DFF">
              <w:t>Arzerra</w:t>
            </w:r>
          </w:p>
        </w:tc>
        <w:tc>
          <w:tcPr>
            <w:tcW w:w="5595" w:type="dxa"/>
          </w:tcPr>
          <w:p w14:paraId="1A09710D" w14:textId="7FCDE4D2" w:rsidR="005B4D7C" w:rsidRPr="00BD1CC1" w:rsidRDefault="007B3DFF">
            <w:pPr>
              <w:pStyle w:val="TableDataUnpadded"/>
            </w:pPr>
            <w:r w:rsidRPr="007B3DFF">
              <w:t>ofatumumab</w:t>
            </w:r>
          </w:p>
        </w:tc>
      </w:tr>
    </w:tbl>
    <w:p w14:paraId="14CE6108" w14:textId="1BB1835C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3792439E" w14:textId="77777777" w:rsidR="007B3DFF" w:rsidRPr="007B3DFF" w:rsidRDefault="007B3DFF" w:rsidP="007B3DFF">
      <w:pPr>
        <w:pStyle w:val="BodyText"/>
      </w:pPr>
      <w:r w:rsidRPr="007B3DF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7D2E61C7" w14:textId="74B25871" w:rsidR="007B3DFF" w:rsidRPr="00DD7BDB" w:rsidRDefault="007B3DFF" w:rsidP="007B3DFF">
      <w:pPr>
        <w:pStyle w:val="Heading3"/>
        <w:rPr>
          <w:vertAlign w:val="superscript"/>
        </w:rPr>
      </w:pPr>
      <w:r w:rsidRPr="00DD7BDB">
        <w:t>FDA-</w:t>
      </w:r>
      <w:r>
        <w:t>a</w:t>
      </w:r>
      <w:r w:rsidRPr="00DD7BDB">
        <w:t>pproved Indications</w:t>
      </w:r>
    </w:p>
    <w:p w14:paraId="776A0CCC" w14:textId="77777777" w:rsidR="007B3DFF" w:rsidRDefault="007B3DFF" w:rsidP="007B3DFF">
      <w:pPr>
        <w:pStyle w:val="BodyText"/>
      </w:pPr>
      <w:r w:rsidRPr="00CF1437">
        <w:t>Chronic lymphocytic leukemia (CLL)</w:t>
      </w:r>
      <w:r>
        <w:t>:</w:t>
      </w:r>
    </w:p>
    <w:p w14:paraId="3A79DD14" w14:textId="77777777" w:rsidR="007B3DFF" w:rsidRPr="007B3DFF" w:rsidRDefault="007B3DFF" w:rsidP="007B3DFF">
      <w:pPr>
        <w:pStyle w:val="ListParagraph"/>
        <w:numPr>
          <w:ilvl w:val="0"/>
          <w:numId w:val="35"/>
        </w:numPr>
      </w:pPr>
      <w:r w:rsidRPr="007B3DFF">
        <w:t>Arzerra is indicated in combination with chlorambucil, for the treatment of previously untreated patients with CLL for whom fludarabine-based therapy is considered inappropriate.</w:t>
      </w:r>
    </w:p>
    <w:p w14:paraId="7023228D" w14:textId="77777777" w:rsidR="007B3DFF" w:rsidRPr="007B3DFF" w:rsidRDefault="007B3DFF" w:rsidP="007B3DFF">
      <w:pPr>
        <w:pStyle w:val="ListParagraph"/>
        <w:numPr>
          <w:ilvl w:val="0"/>
          <w:numId w:val="35"/>
        </w:numPr>
      </w:pPr>
      <w:r w:rsidRPr="007B3DFF">
        <w:t>Arzerra is indicated in combination with fludarabine and cyclophosphamide for the treatment of patients with relapsed CLL.</w:t>
      </w:r>
    </w:p>
    <w:p w14:paraId="0EF176B5" w14:textId="69B155BA" w:rsidR="007B3DFF" w:rsidRPr="007B3DFF" w:rsidRDefault="007B3DFF" w:rsidP="007B3DFF">
      <w:pPr>
        <w:pStyle w:val="ListParagraph"/>
        <w:numPr>
          <w:ilvl w:val="0"/>
          <w:numId w:val="35"/>
        </w:numPr>
      </w:pPr>
      <w:r w:rsidRPr="007B3DFF">
        <w:t>Arzerra is indicated for extended treatment of patients who are in complete or partial response after at least two lines of therapy for recurrent or progressive CLL.</w:t>
      </w:r>
    </w:p>
    <w:p w14:paraId="6063BE6A" w14:textId="77777777" w:rsidR="007B3DFF" w:rsidRPr="007B3DFF" w:rsidRDefault="007B3DFF" w:rsidP="007B3DFF">
      <w:pPr>
        <w:pStyle w:val="ListParagraph"/>
        <w:numPr>
          <w:ilvl w:val="0"/>
          <w:numId w:val="35"/>
        </w:numPr>
      </w:pPr>
      <w:r w:rsidRPr="007B3DFF">
        <w:t>Arzerra is indicated for the treatment of patients with CLL refractory to fludarabine and alemtuzumab.</w:t>
      </w:r>
    </w:p>
    <w:p w14:paraId="50610FF4" w14:textId="78F7DFFB" w:rsidR="007B3DFF" w:rsidRPr="00DD7BDB" w:rsidRDefault="007B3DFF" w:rsidP="007B3DFF">
      <w:pPr>
        <w:pStyle w:val="Heading3"/>
        <w:rPr>
          <w:vertAlign w:val="superscript"/>
        </w:rPr>
      </w:pPr>
      <w:r w:rsidRPr="00DD7BDB">
        <w:t>Compendial Uses</w:t>
      </w:r>
    </w:p>
    <w:p w14:paraId="36ADED84" w14:textId="631D5865" w:rsidR="007B3DFF" w:rsidRPr="007B3DFF" w:rsidRDefault="007B3DFF" w:rsidP="007B3DFF">
      <w:pPr>
        <w:pStyle w:val="ListParagraph"/>
        <w:numPr>
          <w:ilvl w:val="0"/>
          <w:numId w:val="36"/>
        </w:numPr>
      </w:pPr>
      <w:r w:rsidRPr="007B3DFF">
        <w:t>CLL</w:t>
      </w:r>
    </w:p>
    <w:p w14:paraId="497DADAE" w14:textId="77777777" w:rsidR="007B3DFF" w:rsidRPr="007B3DFF" w:rsidRDefault="007B3DFF" w:rsidP="007B3DFF">
      <w:pPr>
        <w:pStyle w:val="ListParagraph"/>
        <w:numPr>
          <w:ilvl w:val="0"/>
          <w:numId w:val="36"/>
        </w:numPr>
      </w:pPr>
      <w:r w:rsidRPr="007B3DFF">
        <w:lastRenderedPageBreak/>
        <w:t>Small lymphocytic lymphoma (SLL) (managed in the same manner as CLL)</w:t>
      </w:r>
    </w:p>
    <w:p w14:paraId="757CC60C" w14:textId="5332B4DC" w:rsidR="007B3DFF" w:rsidRPr="007B3DFF" w:rsidRDefault="007B3DFF" w:rsidP="007B3DFF">
      <w:pPr>
        <w:pStyle w:val="ListParagraph"/>
        <w:numPr>
          <w:ilvl w:val="0"/>
          <w:numId w:val="36"/>
        </w:numPr>
        <w:spacing w:after="120"/>
      </w:pPr>
      <w:bookmarkStart w:id="0" w:name="OLE_LINK1"/>
      <w:bookmarkStart w:id="1" w:name="OLE_LINK2"/>
      <w:proofErr w:type="spellStart"/>
      <w:r w:rsidRPr="007B3DFF">
        <w:t>Waldenström’s</w:t>
      </w:r>
      <w:proofErr w:type="spellEnd"/>
      <w:r w:rsidRPr="007B3DFF">
        <w:t xml:space="preserve"> macroglobulinemia/lymphoplasmacytic lymphoma</w:t>
      </w:r>
      <w:bookmarkEnd w:id="0"/>
      <w:bookmarkEnd w:id="1"/>
    </w:p>
    <w:p w14:paraId="37B6A63B" w14:textId="77777777" w:rsidR="007B3DFF" w:rsidRPr="007B3DFF" w:rsidRDefault="007B3DFF" w:rsidP="007B3DFF">
      <w:pPr>
        <w:pStyle w:val="BodyText"/>
      </w:pPr>
      <w:bookmarkStart w:id="2" w:name="_Hlk118382340"/>
      <w:r w:rsidRPr="007B3DFF">
        <w:t>Note: Arzerra is only available through the manufacturer’s oncology patient access program.</w:t>
      </w:r>
    </w:p>
    <w:bookmarkEnd w:id="2"/>
    <w:p w14:paraId="1B8E0E18" w14:textId="77777777" w:rsidR="007B3DFF" w:rsidRPr="007B3DFF" w:rsidRDefault="007B3DFF" w:rsidP="007B3DFF">
      <w:pPr>
        <w:pStyle w:val="BodyText"/>
      </w:pPr>
      <w:r w:rsidRPr="007B3DFF">
        <w:t>All other indications are considered experimental/investigational and not medically necessary.</w:t>
      </w:r>
    </w:p>
    <w:p w14:paraId="53F27E1F" w14:textId="5B51322A" w:rsidR="007B3DFF" w:rsidRDefault="007B3DFF" w:rsidP="007B3DFF">
      <w:pPr>
        <w:pStyle w:val="Heading2"/>
      </w:pPr>
      <w:r w:rsidRPr="007229C8">
        <w:t>C</w:t>
      </w:r>
      <w:r>
        <w:t>overage C</w:t>
      </w:r>
      <w:r w:rsidRPr="007229C8">
        <w:t>riteria</w:t>
      </w:r>
    </w:p>
    <w:p w14:paraId="7F991B1C" w14:textId="5858A6FA" w:rsidR="007B3DFF" w:rsidRPr="00693492" w:rsidRDefault="007B3DFF" w:rsidP="007B3DFF">
      <w:pPr>
        <w:pStyle w:val="Heading3"/>
      </w:pPr>
      <w:r w:rsidRPr="00693492">
        <w:t>Chronic Lymphocytic Leukemia (CLL) and Small Lymphocytic Lymphoma (SLL)</w:t>
      </w:r>
    </w:p>
    <w:p w14:paraId="2FB1F23D" w14:textId="77777777" w:rsidR="007B3DFF" w:rsidRPr="00693492" w:rsidRDefault="007B3DFF" w:rsidP="007B3DFF">
      <w:pPr>
        <w:pStyle w:val="BodyText"/>
      </w:pPr>
      <w:r w:rsidRPr="00693492">
        <w:t>Authorization of 6 months may be granted for the treatment of CLL or SLL.</w:t>
      </w:r>
    </w:p>
    <w:p w14:paraId="16AED335" w14:textId="5C0ABC54" w:rsidR="007B3DFF" w:rsidRPr="00693492" w:rsidRDefault="007B3DFF" w:rsidP="007B3DFF">
      <w:pPr>
        <w:pStyle w:val="Heading3"/>
      </w:pPr>
      <w:r w:rsidRPr="00693492">
        <w:t>Waldenström’s Macroglobulinemia/Lymphoplasmacytic Lymphoma (WM/LPL)</w:t>
      </w:r>
    </w:p>
    <w:p w14:paraId="4BE96368" w14:textId="77777777" w:rsidR="007B3DFF" w:rsidRPr="00693492" w:rsidRDefault="007B3DFF" w:rsidP="007B3DFF">
      <w:pPr>
        <w:pStyle w:val="BodyText"/>
      </w:pPr>
      <w:r w:rsidRPr="00693492">
        <w:t>Authorization of 6 months may be granted for the treatment of Waldenström’s macroglobulinemia/lymphoplasmacytic lymphoma when all of the following criteria are met:</w:t>
      </w:r>
    </w:p>
    <w:p w14:paraId="53976DBD" w14:textId="77777777" w:rsidR="007B3DFF" w:rsidRPr="007B3DFF" w:rsidRDefault="007B3DFF" w:rsidP="007B3DFF">
      <w:pPr>
        <w:pStyle w:val="ListParagraph"/>
        <w:numPr>
          <w:ilvl w:val="0"/>
          <w:numId w:val="37"/>
        </w:numPr>
      </w:pPr>
      <w:r w:rsidRPr="007B3DFF">
        <w:t>The disease is relapsed, refractory, or progressive, and</w:t>
      </w:r>
    </w:p>
    <w:p w14:paraId="7359C725" w14:textId="77777777" w:rsidR="007B3DFF" w:rsidRPr="007B3DFF" w:rsidRDefault="007B3DFF" w:rsidP="007B3DFF">
      <w:pPr>
        <w:pStyle w:val="ListParagraph"/>
        <w:numPr>
          <w:ilvl w:val="0"/>
          <w:numId w:val="37"/>
        </w:numPr>
      </w:pPr>
      <w:r w:rsidRPr="007B3DFF">
        <w:t>The member is intolerant to rituximab.</w:t>
      </w:r>
    </w:p>
    <w:p w14:paraId="02AD37F9" w14:textId="77D51379" w:rsidR="007B3DFF" w:rsidRDefault="007B3DFF" w:rsidP="007B3DFF">
      <w:pPr>
        <w:pStyle w:val="Heading2"/>
      </w:pPr>
      <w:r w:rsidRPr="007229C8">
        <w:t xml:space="preserve">Continuation </w:t>
      </w:r>
      <w:r>
        <w:t>o</w:t>
      </w:r>
      <w:r w:rsidRPr="007229C8">
        <w:t>f Therapy</w:t>
      </w:r>
    </w:p>
    <w:p w14:paraId="6CE78E51" w14:textId="77777777" w:rsidR="007B3DFF" w:rsidRDefault="007B3DFF" w:rsidP="007B3DFF">
      <w:pPr>
        <w:pStyle w:val="BodyText"/>
      </w:pPr>
      <w:r w:rsidRPr="00D90C22">
        <w:t xml:space="preserve">Authorization of </w:t>
      </w:r>
      <w:r>
        <w:t>12</w:t>
      </w:r>
      <w:r w:rsidRPr="00D90C22">
        <w:t xml:space="preserve"> months</w:t>
      </w:r>
      <w:r>
        <w:t xml:space="preserve"> </w:t>
      </w:r>
      <w:r w:rsidRPr="00D90C22">
        <w:t xml:space="preserve">may be granted for continued treatment in members requesting reauthorization for an indication listed in </w:t>
      </w:r>
      <w:r>
        <w:t>the coverage criteria section</w:t>
      </w:r>
      <w:r w:rsidRPr="00D90C22">
        <w:t xml:space="preserve"> </w:t>
      </w:r>
      <w:r>
        <w:t>when there is no evidence of</w:t>
      </w:r>
      <w:r w:rsidRPr="00D90C22">
        <w:t xml:space="preserve"> unacceptable toxicity</w:t>
      </w:r>
      <w:r>
        <w:t xml:space="preserve"> </w:t>
      </w:r>
      <w:r w:rsidRPr="00D90C22">
        <w:t xml:space="preserve">or disease progression </w:t>
      </w:r>
      <w:r>
        <w:t>while on the current regimen</w:t>
      </w:r>
      <w:r w:rsidRPr="00D90C22">
        <w:t>.</w:t>
      </w:r>
    </w:p>
    <w:p w14:paraId="12CA4D85" w14:textId="5B4D1307" w:rsidR="007B3DFF" w:rsidRPr="00995B06" w:rsidRDefault="007B3DFF" w:rsidP="007B3DFF">
      <w:pPr>
        <w:pStyle w:val="Heading2"/>
      </w:pPr>
      <w:r w:rsidRPr="00995B06">
        <w:t>References</w:t>
      </w:r>
    </w:p>
    <w:p w14:paraId="760C9984" w14:textId="1A1A86E7" w:rsidR="007B3DFF" w:rsidRPr="007B3DFF" w:rsidRDefault="007B3DFF" w:rsidP="007B3DFF">
      <w:pPr>
        <w:pStyle w:val="ReferenceOrdered"/>
      </w:pPr>
      <w:r w:rsidRPr="007B3DFF">
        <w:t>Arzerra [package insert]. East Hanover, NJ: Novartis Pharmaceuticals Corporation; August 2016.</w:t>
      </w:r>
    </w:p>
    <w:p w14:paraId="5C6A519D" w14:textId="77777777" w:rsidR="007B3DFF" w:rsidRPr="007B3DFF" w:rsidRDefault="007B3DFF" w:rsidP="007B3DFF">
      <w:pPr>
        <w:pStyle w:val="ReferenceOrdered"/>
      </w:pPr>
      <w:r w:rsidRPr="007B3DFF">
        <w:t>The NCCN Drugs &amp; Biologics Compendium® © 2024 National Comprehensive Cancer Network, Inc. Available at: http://www.nccn.org. Accessed June 2, 2024.</w:t>
      </w:r>
    </w:p>
    <w:sectPr w:rsidR="007B3DFF" w:rsidRPr="007B3DFF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DE0F8" w14:textId="77777777" w:rsidR="00337ED6" w:rsidRDefault="00337ED6">
      <w:r>
        <w:separator/>
      </w:r>
    </w:p>
  </w:endnote>
  <w:endnote w:type="continuationSeparator" w:id="0">
    <w:p w14:paraId="46C4A35A" w14:textId="77777777" w:rsidR="00337ED6" w:rsidRDefault="00337ED6">
      <w:r>
        <w:continuationSeparator/>
      </w:r>
    </w:p>
  </w:endnote>
  <w:endnote w:type="continuationNotice" w:id="1">
    <w:p w14:paraId="350F3F81" w14:textId="77777777" w:rsidR="00337ED6" w:rsidRDefault="00337E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D1770F1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65531" w:rsidRPr="00165531">
      <w:rPr>
        <w:rFonts w:cs="Arial"/>
        <w:noProof/>
        <w:sz w:val="16"/>
        <w:szCs w:val="16"/>
      </w:rPr>
      <w:t>Arzerra</w:t>
    </w:r>
    <w:r w:rsidR="00165531">
      <w:rPr>
        <w:rFonts w:cs="Arial"/>
        <w:noProof/>
        <w:snapToGrid w:val="0"/>
        <w:color w:val="000000"/>
        <w:sz w:val="16"/>
        <w:szCs w:val="16"/>
      </w:rPr>
      <w:t xml:space="preserve"> SGM 2073-A</w:t>
    </w:r>
    <w:r w:rsidR="00165531" w:rsidRPr="00165531">
      <w:rPr>
        <w:rFonts w:cs="Arial"/>
        <w:noProof/>
        <w:sz w:val="16"/>
        <w:szCs w:val="16"/>
      </w:rPr>
      <w:t xml:space="preserve"> </w:t>
    </w:r>
    <w:r w:rsidR="00421DC2">
      <w:rPr>
        <w:rFonts w:cs="Arial"/>
        <w:noProof/>
        <w:sz w:val="16"/>
        <w:szCs w:val="16"/>
      </w:rPr>
      <w:t>P</w:t>
    </w:r>
    <w:r w:rsidR="00165531" w:rsidRPr="00165531">
      <w:rPr>
        <w:rFonts w:cs="Arial"/>
        <w:noProof/>
        <w:sz w:val="16"/>
        <w:szCs w:val="16"/>
      </w:rPr>
      <w:t>2024</w:t>
    </w:r>
    <w:r w:rsidR="00165531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180A19B8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929EA31" w:rsidR="00F75C81" w:rsidRPr="00165531" w:rsidRDefault="00C36B72" w:rsidP="0016553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84E692F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65531" w:rsidRPr="00165531">
      <w:rPr>
        <w:rFonts w:cs="Arial"/>
        <w:noProof/>
        <w:sz w:val="16"/>
        <w:szCs w:val="16"/>
      </w:rPr>
      <w:t>Arzerra</w:t>
    </w:r>
    <w:r w:rsidR="00165531">
      <w:rPr>
        <w:rFonts w:cs="Arial"/>
        <w:noProof/>
        <w:snapToGrid w:val="0"/>
        <w:color w:val="000000"/>
        <w:sz w:val="16"/>
        <w:szCs w:val="16"/>
      </w:rPr>
      <w:t xml:space="preserve"> SGM 2073-A</w:t>
    </w:r>
    <w:r w:rsidR="00165531" w:rsidRPr="00165531">
      <w:rPr>
        <w:rFonts w:cs="Arial"/>
        <w:noProof/>
        <w:sz w:val="16"/>
        <w:szCs w:val="16"/>
      </w:rPr>
      <w:t xml:space="preserve"> </w:t>
    </w:r>
    <w:r w:rsidR="00421DC2">
      <w:rPr>
        <w:rFonts w:cs="Arial"/>
        <w:noProof/>
        <w:sz w:val="16"/>
        <w:szCs w:val="16"/>
      </w:rPr>
      <w:t>P</w:t>
    </w:r>
    <w:r w:rsidR="00165531" w:rsidRPr="00165531">
      <w:rPr>
        <w:rFonts w:cs="Arial"/>
        <w:noProof/>
        <w:sz w:val="16"/>
        <w:szCs w:val="16"/>
      </w:rPr>
      <w:t>2024</w:t>
    </w:r>
    <w:r w:rsidR="00165531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20361E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E0D649F" w:rsidR="00ED04EC" w:rsidRPr="00165531" w:rsidRDefault="00F50D98" w:rsidP="0016553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D7C8F" w14:textId="77777777" w:rsidR="00337ED6" w:rsidRDefault="00337ED6">
      <w:r>
        <w:separator/>
      </w:r>
    </w:p>
  </w:footnote>
  <w:footnote w:type="continuationSeparator" w:id="0">
    <w:p w14:paraId="7B6CE4D9" w14:textId="77777777" w:rsidR="00337ED6" w:rsidRDefault="00337ED6">
      <w:r>
        <w:continuationSeparator/>
      </w:r>
    </w:p>
  </w:footnote>
  <w:footnote w:type="continuationNotice" w:id="1">
    <w:p w14:paraId="2664B1CB" w14:textId="77777777" w:rsidR="00337ED6" w:rsidRDefault="00337E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7B3DFF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7B3DFF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48B6BF8" w:rsidR="00ED04EC" w:rsidRPr="007B3DFF" w:rsidRDefault="007B3DFF" w:rsidP="00ED04EC">
          <w:pPr>
            <w:pStyle w:val="Header"/>
            <w:rPr>
              <w:rFonts w:cs="Arial"/>
              <w:sz w:val="16"/>
              <w:szCs w:val="16"/>
            </w:rPr>
          </w:pPr>
          <w:r w:rsidRPr="007B3DFF">
            <w:rPr>
              <w:rFonts w:cs="Arial"/>
              <w:sz w:val="16"/>
              <w:szCs w:val="16"/>
            </w:rPr>
            <w:t>2073-A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517A2"/>
    <w:multiLevelType w:val="hybridMultilevel"/>
    <w:tmpl w:val="ED80CFCC"/>
    <w:lvl w:ilvl="0" w:tplc="E1F28718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60341C0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998338B"/>
    <w:multiLevelType w:val="hybridMultilevel"/>
    <w:tmpl w:val="29BC5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50E97"/>
    <w:multiLevelType w:val="hybridMultilevel"/>
    <w:tmpl w:val="79F87FF0"/>
    <w:lvl w:ilvl="0" w:tplc="A51498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9F3572"/>
    <w:multiLevelType w:val="hybridMultilevel"/>
    <w:tmpl w:val="40707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928FE"/>
    <w:multiLevelType w:val="hybridMultilevel"/>
    <w:tmpl w:val="5D087CA4"/>
    <w:lvl w:ilvl="0" w:tplc="FB908598">
      <w:start w:val="1"/>
      <w:numFmt w:val="upperLetter"/>
      <w:lvlText w:val="%1."/>
      <w:lvlJc w:val="left"/>
      <w:pPr>
        <w:ind w:left="108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0B712A"/>
    <w:multiLevelType w:val="hybridMultilevel"/>
    <w:tmpl w:val="4152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257E53"/>
    <w:multiLevelType w:val="multilevel"/>
    <w:tmpl w:val="BFBC2D44"/>
    <w:lvl w:ilvl="0">
      <w:start w:val="1"/>
      <w:numFmt w:val="upperLetter"/>
      <w:lvlText w:val="%1."/>
      <w:lvlJc w:val="left"/>
      <w:pPr>
        <w:ind w:left="6930" w:hanging="360"/>
      </w:pPr>
    </w:lvl>
    <w:lvl w:ilvl="1">
      <w:start w:val="1"/>
      <w:numFmt w:val="decimal"/>
      <w:lvlText w:val="1.%2."/>
      <w:lvlJc w:val="right"/>
      <w:pPr>
        <w:ind w:left="65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4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250" w:hanging="1800"/>
      </w:pPr>
      <w:rPr>
        <w:rFonts w:hint="default"/>
      </w:rPr>
    </w:lvl>
  </w:abstractNum>
  <w:abstractNum w:abstractNumId="25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9C5321"/>
    <w:multiLevelType w:val="hybridMultilevel"/>
    <w:tmpl w:val="04DEF336"/>
    <w:lvl w:ilvl="0" w:tplc="271CB21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7640DF"/>
    <w:multiLevelType w:val="hybridMultilevel"/>
    <w:tmpl w:val="41828360"/>
    <w:lvl w:ilvl="0" w:tplc="173CB4A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DA1605"/>
    <w:multiLevelType w:val="hybridMultilevel"/>
    <w:tmpl w:val="BA04AB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1"/>
  </w:num>
  <w:num w:numId="3" w16cid:durableId="611589570">
    <w:abstractNumId w:val="2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35"/>
  </w:num>
  <w:num w:numId="18" w16cid:durableId="299724409">
    <w:abstractNumId w:val="28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6"/>
  </w:num>
  <w:num w:numId="22" w16cid:durableId="1472481103">
    <w:abstractNumId w:val="30"/>
  </w:num>
  <w:num w:numId="23" w16cid:durableId="1997420403">
    <w:abstractNumId w:val="32"/>
  </w:num>
  <w:num w:numId="24" w16cid:durableId="33312838">
    <w:abstractNumId w:val="29"/>
  </w:num>
  <w:num w:numId="25" w16cid:durableId="507404939">
    <w:abstractNumId w:val="19"/>
  </w:num>
  <w:num w:numId="26" w16cid:durableId="1950313333">
    <w:abstractNumId w:val="25"/>
  </w:num>
  <w:num w:numId="27" w16cid:durableId="1866016584">
    <w:abstractNumId w:val="22"/>
  </w:num>
  <w:num w:numId="28" w16cid:durableId="270170144">
    <w:abstractNumId w:val="34"/>
  </w:num>
  <w:num w:numId="29" w16cid:durableId="1057362429">
    <w:abstractNumId w:val="24"/>
  </w:num>
  <w:num w:numId="30" w16cid:durableId="1511992516">
    <w:abstractNumId w:val="11"/>
  </w:num>
  <w:num w:numId="31" w16cid:durableId="2028873479">
    <w:abstractNumId w:val="33"/>
  </w:num>
  <w:num w:numId="32" w16cid:durableId="1462770904">
    <w:abstractNumId w:val="21"/>
  </w:num>
  <w:num w:numId="33" w16cid:durableId="652294659">
    <w:abstractNumId w:val="26"/>
  </w:num>
  <w:num w:numId="34" w16cid:durableId="709719203">
    <w:abstractNumId w:val="17"/>
  </w:num>
  <w:num w:numId="35" w16cid:durableId="2137478144">
    <w:abstractNumId w:val="23"/>
  </w:num>
  <w:num w:numId="36" w16cid:durableId="1128818368">
    <w:abstractNumId w:val="18"/>
  </w:num>
  <w:num w:numId="37" w16cid:durableId="1608808626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531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4C5C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1ED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207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294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ADA"/>
    <w:rsid w:val="003357AB"/>
    <w:rsid w:val="003363E7"/>
    <w:rsid w:val="003364EB"/>
    <w:rsid w:val="00336990"/>
    <w:rsid w:val="00337ED6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DC2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35C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12B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65A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169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2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4DC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3DFF"/>
    <w:rsid w:val="007B41A6"/>
    <w:rsid w:val="007B4652"/>
    <w:rsid w:val="007B4B04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FB1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1BC0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586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41AE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77B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452F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574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85F06-DF6F-4612-876C-B35CF71949B2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openxmlformats.org/package/2006/metadata/core-properties"/>
    <ds:schemaRef ds:uri="ce173f13-e3a2-4c5f-8c54-d0382ae88016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102fadf2-6cae-45bc-95f6-bc2613b98572"/>
    <ds:schemaRef ds:uri="http://purl.org/dc/elements/1.1/"/>
    <ds:schemaRef ds:uri="http://www.w3.org/XML/1998/namespace"/>
    <ds:schemaRef ds:uri="http://purl.org/dc/dcmitype/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350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Arzerra 2073-A SGM 2024</vt:lpstr>
    </vt:vector>
  </TitlesOfParts>
  <Company>PCS Health Systems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Arzerra 2073-A SGM 2024</dc:title>
  <dc:subject/>
  <dc:creator>CVS Caremark</dc:creator>
  <cp:keywords/>
  <cp:lastModifiedBy>Huerta, Linda M</cp:lastModifiedBy>
  <cp:revision>4</cp:revision>
  <cp:lastPrinted>2018-01-09T11:01:00Z</cp:lastPrinted>
  <dcterms:created xsi:type="dcterms:W3CDTF">2024-10-24T14:08:00Z</dcterms:created>
  <dcterms:modified xsi:type="dcterms:W3CDTF">2024-11-13T21:05:00Z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1568100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